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604" w:rsidRPr="00E863ED" w:rsidRDefault="002B0604" w:rsidP="002B0604">
      <w:pPr>
        <w:shd w:val="clear" w:color="auto" w:fill="FFFFFF" w:themeFill="background1"/>
        <w:spacing w:after="0" w:line="240" w:lineRule="auto"/>
        <w:ind w:left="1080" w:hanging="1080"/>
        <w:jc w:val="center"/>
        <w:rPr>
          <w:rFonts w:ascii="Garamond" w:hAnsi="Garamond"/>
          <w:sz w:val="28"/>
          <w:szCs w:val="28"/>
        </w:rPr>
      </w:pPr>
      <w:r w:rsidRPr="00E863ED">
        <w:rPr>
          <w:rFonts w:ascii="Garamond" w:hAnsi="Garamond"/>
          <w:sz w:val="28"/>
          <w:szCs w:val="28"/>
        </w:rPr>
        <w:t>PERFORMANCE COMMITMENT WITH SPECIFIC PROVISIONS FOR PRIMARY CARE BENEFIT 1 PROVIDERS (PC FOR PCB1)</w:t>
      </w:r>
    </w:p>
    <w:p w:rsidR="002B0604" w:rsidRDefault="002B0604" w:rsidP="002B0604">
      <w:pPr>
        <w:rPr>
          <w:b/>
        </w:rPr>
      </w:pPr>
    </w:p>
    <w:p w:rsidR="002B0604" w:rsidRDefault="002B0604" w:rsidP="002B0604">
      <w:pPr>
        <w:pStyle w:val="Header"/>
      </w:pPr>
      <w:r>
        <w:t>That we shall deliver the Primary Care Benefit Package services for the duration of the validity of this commitment.</w:t>
      </w:r>
    </w:p>
    <w:p w:rsidR="002B0604" w:rsidRDefault="002B0604" w:rsidP="002B0604">
      <w:pPr>
        <w:tabs>
          <w:tab w:val="center" w:pos="4680"/>
        </w:tabs>
        <w:spacing w:line="240" w:lineRule="auto"/>
      </w:pPr>
      <w:r>
        <w:t xml:space="preserve">As </w:t>
      </w:r>
      <w:r>
        <w:rPr>
          <w:b/>
        </w:rPr>
        <w:t>PCB1 provider</w:t>
      </w:r>
      <w:r>
        <w:t>,</w:t>
      </w:r>
    </w:p>
    <w:p w:rsidR="002B0604" w:rsidRDefault="002B0604" w:rsidP="002B0604">
      <w:pPr>
        <w:pStyle w:val="ListParagraph"/>
        <w:numPr>
          <w:ilvl w:val="0"/>
          <w:numId w:val="2"/>
        </w:numPr>
        <w:tabs>
          <w:tab w:val="left" w:pos="1440"/>
          <w:tab w:val="center" w:pos="4680"/>
        </w:tabs>
        <w:spacing w:line="240" w:lineRule="auto"/>
        <w:ind w:left="450" w:hanging="270"/>
      </w:pPr>
      <w:r>
        <w:t>That we shall be responsible to seek and enlist eligible members and their qualified dependents in our community assigned to our facility.</w:t>
      </w:r>
    </w:p>
    <w:p w:rsidR="002B0604" w:rsidRDefault="002B0604" w:rsidP="002B0604">
      <w:pPr>
        <w:pStyle w:val="ListParagraph"/>
        <w:numPr>
          <w:ilvl w:val="0"/>
          <w:numId w:val="2"/>
        </w:numPr>
        <w:tabs>
          <w:tab w:val="left" w:pos="1440"/>
          <w:tab w:val="center" w:pos="4680"/>
        </w:tabs>
        <w:spacing w:line="240" w:lineRule="auto"/>
        <w:ind w:left="450" w:hanging="270"/>
      </w:pPr>
      <w:r>
        <w:t>That we shall establish a baseline health profile of all PhilHealth members and qualified dependents, which shall be kept and updated regularly by our facility.</w:t>
      </w:r>
    </w:p>
    <w:p w:rsidR="002B0604" w:rsidRDefault="002B0604" w:rsidP="002B0604">
      <w:pPr>
        <w:pStyle w:val="ListParagraph"/>
        <w:numPr>
          <w:ilvl w:val="0"/>
          <w:numId w:val="2"/>
        </w:numPr>
        <w:tabs>
          <w:tab w:val="left" w:pos="1440"/>
          <w:tab w:val="center" w:pos="4680"/>
        </w:tabs>
        <w:spacing w:line="240" w:lineRule="auto"/>
        <w:ind w:left="450" w:hanging="270"/>
      </w:pPr>
      <w:r>
        <w:t>That we shall submit a consolidated profile or our clientele using PCB Clientele Profile as a documentary requirement for the release of Per Family Payment Rate (PFPR).</w:t>
      </w:r>
    </w:p>
    <w:p w:rsidR="002B0604" w:rsidRDefault="002B0604" w:rsidP="002B0604">
      <w:pPr>
        <w:pStyle w:val="ListParagraph"/>
        <w:numPr>
          <w:ilvl w:val="0"/>
          <w:numId w:val="2"/>
        </w:numPr>
        <w:tabs>
          <w:tab w:val="left" w:pos="1440"/>
          <w:tab w:val="center" w:pos="4680"/>
        </w:tabs>
        <w:spacing w:line="240" w:lineRule="auto"/>
        <w:ind w:left="450" w:hanging="270"/>
      </w:pPr>
      <w:r>
        <w:t>That we shall deliver the services covered by the PCB1 package to respond to the health needs of the clientele of our facility.</w:t>
      </w:r>
    </w:p>
    <w:p w:rsidR="002B0604" w:rsidRDefault="002B0604" w:rsidP="002B0604">
      <w:pPr>
        <w:pStyle w:val="ListParagraph"/>
        <w:numPr>
          <w:ilvl w:val="0"/>
          <w:numId w:val="2"/>
        </w:numPr>
        <w:tabs>
          <w:tab w:val="left" w:pos="1440"/>
          <w:tab w:val="center" w:pos="4680"/>
        </w:tabs>
        <w:spacing w:line="240" w:lineRule="auto"/>
        <w:ind w:left="450" w:hanging="270"/>
      </w:pPr>
      <w:r>
        <w:t>That in case there is/are diagnostic examination(s) outsourced from another facility, we shall forge a Memorandum of Agreement (MOA) to ensure quality checks and appropriate processes are provided.</w:t>
      </w:r>
    </w:p>
    <w:p w:rsidR="002B0604" w:rsidRDefault="002B0604" w:rsidP="002B0604">
      <w:pPr>
        <w:pStyle w:val="ListParagraph"/>
        <w:numPr>
          <w:ilvl w:val="0"/>
          <w:numId w:val="2"/>
        </w:numPr>
        <w:tabs>
          <w:tab w:val="left" w:pos="1440"/>
          <w:tab w:val="center" w:pos="4680"/>
        </w:tabs>
        <w:spacing w:line="240" w:lineRule="auto"/>
        <w:ind w:left="450" w:hanging="270"/>
      </w:pPr>
      <w:r>
        <w:t>That we shall abide by the performance targets on the minimum obligated services for all members assigned in our facility set by the corporation.</w:t>
      </w:r>
    </w:p>
    <w:p w:rsidR="002B0604" w:rsidRDefault="002B0604" w:rsidP="002B0604">
      <w:pPr>
        <w:pStyle w:val="ListParagraph"/>
        <w:numPr>
          <w:ilvl w:val="0"/>
          <w:numId w:val="2"/>
        </w:numPr>
        <w:tabs>
          <w:tab w:val="left" w:pos="1440"/>
          <w:tab w:val="center" w:pos="4680"/>
        </w:tabs>
        <w:spacing w:line="240" w:lineRule="auto"/>
        <w:ind w:left="450" w:hanging="270"/>
      </w:pPr>
      <w:r>
        <w:t>That we shall create/maintain a trust fund for PFPR fund.</w:t>
      </w:r>
    </w:p>
    <w:p w:rsidR="002B0604" w:rsidRDefault="002B0604" w:rsidP="002B0604">
      <w:pPr>
        <w:pStyle w:val="ListParagraph"/>
        <w:numPr>
          <w:ilvl w:val="0"/>
          <w:numId w:val="2"/>
        </w:numPr>
        <w:tabs>
          <w:tab w:val="left" w:pos="1440"/>
          <w:tab w:val="center" w:pos="4680"/>
        </w:tabs>
        <w:spacing w:line="240" w:lineRule="auto"/>
        <w:ind w:left="450" w:hanging="270"/>
      </w:pPr>
      <w:r>
        <w:t>That we shall abide by the prescribed disposition and allocation of the PFPR as follows:</w:t>
      </w:r>
    </w:p>
    <w:p w:rsidR="002B0604" w:rsidRDefault="002B0604" w:rsidP="002B0604">
      <w:pPr>
        <w:pStyle w:val="ListParagraph"/>
        <w:numPr>
          <w:ilvl w:val="0"/>
          <w:numId w:val="1"/>
        </w:numPr>
        <w:spacing w:after="0" w:line="240" w:lineRule="auto"/>
        <w:ind w:left="1080"/>
      </w:pPr>
      <w:r>
        <w:t>Eighty percent (80%) of PFPR is for operational cost and shall cover:</w:t>
      </w:r>
      <w:r>
        <w:tab/>
      </w:r>
    </w:p>
    <w:p w:rsidR="002B0604" w:rsidRDefault="002B0604" w:rsidP="002B0604">
      <w:pPr>
        <w:pStyle w:val="ListParagraph"/>
        <w:numPr>
          <w:ilvl w:val="1"/>
          <w:numId w:val="1"/>
        </w:numPr>
        <w:tabs>
          <w:tab w:val="left" w:pos="-2970"/>
        </w:tabs>
        <w:spacing w:line="240" w:lineRule="auto"/>
        <w:ind w:left="1440"/>
      </w:pPr>
      <w:r>
        <w:t>Minimum of forty percent (40%) for drugs &amp; medicines (PNDF) (to be dispensed at the facility) including drugs &amp; medicines for asthma, acute gastroenteritis, &amp; pneumonia;</w:t>
      </w:r>
    </w:p>
    <w:p w:rsidR="002B0604" w:rsidRDefault="002B0604" w:rsidP="002B0604">
      <w:pPr>
        <w:pStyle w:val="ListParagraph"/>
        <w:numPr>
          <w:ilvl w:val="1"/>
          <w:numId w:val="1"/>
        </w:numPr>
        <w:tabs>
          <w:tab w:val="left" w:pos="-2970"/>
        </w:tabs>
        <w:spacing w:line="240" w:lineRule="auto"/>
        <w:ind w:left="1440"/>
      </w:pPr>
      <w:r>
        <w:t xml:space="preserve">Maximum of forty percent (40%) for reagents, medical supplies, equipment (i.e. ambulance, </w:t>
      </w:r>
      <w:proofErr w:type="spellStart"/>
      <w:r>
        <w:t>ambubag</w:t>
      </w:r>
      <w:proofErr w:type="spellEnd"/>
      <w:r>
        <w:t>, stretcher, etc), information technology (IT equipment specific to the needs of facility for it to facilitate reporting and building up of its database), capacity building for staff, infrastructure or any other use related, necessary for the delivery of required service including referral fees for diagnostic services if not available in the facility.</w:t>
      </w:r>
    </w:p>
    <w:p w:rsidR="002B0604" w:rsidRDefault="002B0604" w:rsidP="002B0604">
      <w:pPr>
        <w:pStyle w:val="ListParagraph"/>
        <w:numPr>
          <w:ilvl w:val="0"/>
          <w:numId w:val="1"/>
        </w:numPr>
        <w:spacing w:line="240" w:lineRule="auto"/>
        <w:ind w:left="1080"/>
      </w:pPr>
      <w:r>
        <w:t>The remaining twenty percent (20%) shall be exclusively utilized as honoraria of the staff of the health facility and in the improvement of their capabilities to be able to provide better health services:</w:t>
      </w:r>
    </w:p>
    <w:p w:rsidR="002B0604" w:rsidRDefault="002B0604" w:rsidP="002B0604">
      <w:pPr>
        <w:pStyle w:val="ListParagraph"/>
        <w:numPr>
          <w:ilvl w:val="1"/>
          <w:numId w:val="1"/>
        </w:numPr>
        <w:spacing w:line="240" w:lineRule="auto"/>
        <w:ind w:left="1440"/>
      </w:pPr>
      <w:r>
        <w:t>Ten percent (10%) for the physician;</w:t>
      </w:r>
    </w:p>
    <w:p w:rsidR="002B0604" w:rsidRDefault="002B0604" w:rsidP="002B0604">
      <w:pPr>
        <w:pStyle w:val="ListParagraph"/>
        <w:numPr>
          <w:ilvl w:val="1"/>
          <w:numId w:val="1"/>
        </w:numPr>
        <w:spacing w:line="240" w:lineRule="auto"/>
        <w:ind w:left="1440"/>
      </w:pPr>
      <w:r>
        <w:t>Five percent (5%) for other health professional staff of the facility</w:t>
      </w:r>
    </w:p>
    <w:p w:rsidR="002B0604" w:rsidRDefault="002B0604" w:rsidP="002B0604">
      <w:pPr>
        <w:pStyle w:val="ListParagraph"/>
        <w:numPr>
          <w:ilvl w:val="1"/>
          <w:numId w:val="1"/>
        </w:numPr>
        <w:spacing w:line="240" w:lineRule="auto"/>
        <w:ind w:left="1440"/>
      </w:pPr>
      <w:r>
        <w:t>Five percent (5%) for non-health professional/staff, including volunteers.</w:t>
      </w:r>
    </w:p>
    <w:tbl>
      <w:tblPr>
        <w:tblW w:w="9198" w:type="dxa"/>
        <w:tblLook w:val="04A0"/>
      </w:tblPr>
      <w:tblGrid>
        <w:gridCol w:w="4338"/>
        <w:gridCol w:w="450"/>
        <w:gridCol w:w="4410"/>
      </w:tblGrid>
      <w:tr w:rsidR="002B0604" w:rsidTr="004722F9">
        <w:tc>
          <w:tcPr>
            <w:tcW w:w="4338" w:type="dxa"/>
            <w:tcBorders>
              <w:top w:val="nil"/>
              <w:left w:val="nil"/>
              <w:bottom w:val="single" w:sz="4" w:space="0" w:color="auto"/>
              <w:right w:val="nil"/>
            </w:tcBorders>
          </w:tcPr>
          <w:p w:rsidR="002B0604" w:rsidRDefault="002B0604" w:rsidP="004722F9">
            <w:pPr>
              <w:tabs>
                <w:tab w:val="left" w:pos="4905"/>
              </w:tabs>
              <w:spacing w:line="240" w:lineRule="auto"/>
              <w:ind w:right="120"/>
              <w:rPr>
                <w:rFonts w:cs="Calibri"/>
              </w:rPr>
            </w:pPr>
          </w:p>
        </w:tc>
        <w:tc>
          <w:tcPr>
            <w:tcW w:w="450" w:type="dxa"/>
          </w:tcPr>
          <w:p w:rsidR="002B0604" w:rsidRDefault="002B0604" w:rsidP="004722F9">
            <w:pPr>
              <w:tabs>
                <w:tab w:val="left" w:pos="4905"/>
              </w:tabs>
              <w:spacing w:line="240" w:lineRule="auto"/>
              <w:ind w:right="120"/>
              <w:rPr>
                <w:rFonts w:cs="Calibri"/>
              </w:rPr>
            </w:pPr>
          </w:p>
        </w:tc>
        <w:tc>
          <w:tcPr>
            <w:tcW w:w="4410" w:type="dxa"/>
            <w:tcBorders>
              <w:top w:val="nil"/>
              <w:left w:val="nil"/>
              <w:bottom w:val="single" w:sz="4" w:space="0" w:color="auto"/>
              <w:right w:val="nil"/>
            </w:tcBorders>
          </w:tcPr>
          <w:p w:rsidR="002B0604" w:rsidRDefault="002B0604" w:rsidP="004722F9">
            <w:pPr>
              <w:tabs>
                <w:tab w:val="left" w:pos="4905"/>
              </w:tabs>
              <w:spacing w:line="240" w:lineRule="auto"/>
              <w:ind w:right="120"/>
              <w:rPr>
                <w:rFonts w:cs="Calibri"/>
              </w:rPr>
            </w:pPr>
          </w:p>
        </w:tc>
      </w:tr>
      <w:tr w:rsidR="002B0604" w:rsidTr="004722F9">
        <w:tc>
          <w:tcPr>
            <w:tcW w:w="4338" w:type="dxa"/>
            <w:tcBorders>
              <w:top w:val="single" w:sz="4" w:space="0" w:color="auto"/>
              <w:left w:val="nil"/>
              <w:bottom w:val="nil"/>
              <w:right w:val="nil"/>
            </w:tcBorders>
            <w:hideMark/>
          </w:tcPr>
          <w:p w:rsidR="002B0604" w:rsidRDefault="002B0604" w:rsidP="004722F9">
            <w:pPr>
              <w:tabs>
                <w:tab w:val="left" w:pos="4905"/>
              </w:tabs>
              <w:spacing w:line="240" w:lineRule="auto"/>
              <w:ind w:right="120"/>
              <w:rPr>
                <w:rFonts w:cs="Calibri"/>
                <w:b/>
              </w:rPr>
            </w:pPr>
            <w:r>
              <w:rPr>
                <w:rFonts w:cs="Calibri"/>
                <w:b/>
              </w:rPr>
              <w:t>Local Chief Executive (if LGU-owned)/Owner</w:t>
            </w:r>
          </w:p>
        </w:tc>
        <w:tc>
          <w:tcPr>
            <w:tcW w:w="450" w:type="dxa"/>
          </w:tcPr>
          <w:p w:rsidR="002B0604" w:rsidRDefault="002B0604" w:rsidP="004722F9">
            <w:pPr>
              <w:tabs>
                <w:tab w:val="left" w:pos="4905"/>
              </w:tabs>
              <w:spacing w:line="240" w:lineRule="auto"/>
              <w:ind w:right="120"/>
              <w:rPr>
                <w:rFonts w:cs="Calibri"/>
                <w:b/>
              </w:rPr>
            </w:pPr>
          </w:p>
        </w:tc>
        <w:tc>
          <w:tcPr>
            <w:tcW w:w="4410" w:type="dxa"/>
            <w:tcBorders>
              <w:top w:val="single" w:sz="4" w:space="0" w:color="auto"/>
              <w:left w:val="nil"/>
              <w:bottom w:val="nil"/>
              <w:right w:val="nil"/>
            </w:tcBorders>
            <w:hideMark/>
          </w:tcPr>
          <w:p w:rsidR="002B0604" w:rsidRDefault="002B0604" w:rsidP="004722F9">
            <w:pPr>
              <w:tabs>
                <w:tab w:val="left" w:pos="4905"/>
              </w:tabs>
              <w:spacing w:line="240" w:lineRule="auto"/>
              <w:ind w:right="120"/>
              <w:rPr>
                <w:rFonts w:cs="Calibri"/>
                <w:b/>
              </w:rPr>
            </w:pPr>
            <w:r>
              <w:rPr>
                <w:rFonts w:cs="Calibri"/>
                <w:b/>
              </w:rPr>
              <w:t>Head of Facility/Medical Director/Manager</w:t>
            </w:r>
          </w:p>
        </w:tc>
      </w:tr>
    </w:tbl>
    <w:p w:rsidR="002B0604" w:rsidRDefault="002B0604" w:rsidP="002B0604">
      <w:pPr>
        <w:pStyle w:val="normal0"/>
        <w:spacing w:before="100" w:after="100"/>
        <w:ind w:right="540"/>
      </w:pPr>
      <w:r>
        <w:rPr>
          <w:rFonts w:ascii="Garamond" w:eastAsia="Garamond" w:hAnsi="Garamond" w:cs="Garamond"/>
        </w:rPr>
        <w:t xml:space="preserve"> </w:t>
      </w:r>
    </w:p>
    <w:p w:rsidR="002B0604" w:rsidRDefault="002B0604" w:rsidP="002B0604">
      <w:pPr>
        <w:rPr>
          <w:b/>
        </w:rPr>
      </w:pPr>
    </w:p>
    <w:p w:rsidR="00911811" w:rsidRDefault="002B0604"/>
    <w:sectPr w:rsidR="00911811" w:rsidSect="00AE4C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E4798"/>
    <w:multiLevelType w:val="hybridMultilevel"/>
    <w:tmpl w:val="A14426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162CB5"/>
    <w:multiLevelType w:val="hybridMultilevel"/>
    <w:tmpl w:val="E9BA2554"/>
    <w:lvl w:ilvl="0" w:tplc="2A3463D8">
      <w:start w:val="1"/>
      <w:numFmt w:val="upperLetter"/>
      <w:lvlText w:val="%1."/>
      <w:lvlJc w:val="left"/>
      <w:pPr>
        <w:ind w:left="2430" w:hanging="360"/>
      </w:pPr>
    </w:lvl>
    <w:lvl w:ilvl="1" w:tplc="CD90C548">
      <w:start w:val="1"/>
      <w:numFmt w:val="lowerLetter"/>
      <w:lvlText w:val="%2."/>
      <w:lvlJc w:val="left"/>
      <w:pPr>
        <w:ind w:left="3150" w:hanging="360"/>
      </w:pPr>
    </w:lvl>
    <w:lvl w:ilvl="2" w:tplc="145C6F22">
      <w:start w:val="1"/>
      <w:numFmt w:val="lowerRoman"/>
      <w:lvlText w:val="%3."/>
      <w:lvlJc w:val="right"/>
      <w:pPr>
        <w:ind w:left="3870" w:hanging="180"/>
      </w:pPr>
    </w:lvl>
    <w:lvl w:ilvl="3" w:tplc="EAAA1846">
      <w:start w:val="1"/>
      <w:numFmt w:val="decimal"/>
      <w:lvlText w:val="%4."/>
      <w:lvlJc w:val="left"/>
      <w:pPr>
        <w:tabs>
          <w:tab w:val="num" w:pos="2880"/>
        </w:tabs>
        <w:ind w:left="2880" w:hanging="360"/>
      </w:pPr>
    </w:lvl>
    <w:lvl w:ilvl="4" w:tplc="B8C4DAE0">
      <w:start w:val="1"/>
      <w:numFmt w:val="decimal"/>
      <w:lvlText w:val="%5."/>
      <w:lvlJc w:val="left"/>
      <w:pPr>
        <w:tabs>
          <w:tab w:val="num" w:pos="3600"/>
        </w:tabs>
        <w:ind w:left="3600" w:hanging="360"/>
      </w:pPr>
    </w:lvl>
    <w:lvl w:ilvl="5" w:tplc="6958E24A">
      <w:start w:val="1"/>
      <w:numFmt w:val="decimal"/>
      <w:lvlText w:val="%6."/>
      <w:lvlJc w:val="left"/>
      <w:pPr>
        <w:tabs>
          <w:tab w:val="num" w:pos="4320"/>
        </w:tabs>
        <w:ind w:left="4320" w:hanging="360"/>
      </w:pPr>
    </w:lvl>
    <w:lvl w:ilvl="6" w:tplc="D0665A52">
      <w:start w:val="1"/>
      <w:numFmt w:val="decimal"/>
      <w:lvlText w:val="%7."/>
      <w:lvlJc w:val="left"/>
      <w:pPr>
        <w:tabs>
          <w:tab w:val="num" w:pos="5040"/>
        </w:tabs>
        <w:ind w:left="5040" w:hanging="360"/>
      </w:pPr>
    </w:lvl>
    <w:lvl w:ilvl="7" w:tplc="53D0B2C2">
      <w:start w:val="1"/>
      <w:numFmt w:val="decimal"/>
      <w:lvlText w:val="%8."/>
      <w:lvlJc w:val="left"/>
      <w:pPr>
        <w:tabs>
          <w:tab w:val="num" w:pos="5760"/>
        </w:tabs>
        <w:ind w:left="5760" w:hanging="360"/>
      </w:pPr>
    </w:lvl>
    <w:lvl w:ilvl="8" w:tplc="67209916">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2B0604"/>
    <w:rsid w:val="00252EB8"/>
    <w:rsid w:val="002B0604"/>
    <w:rsid w:val="00AE4C89"/>
    <w:rsid w:val="00F53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6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B0604"/>
    <w:rPr>
      <w:rFonts w:ascii="Calibri" w:eastAsia="Calibri" w:hAnsi="Calibri" w:cs="Calibri"/>
      <w:color w:val="000000"/>
    </w:rPr>
  </w:style>
  <w:style w:type="paragraph" w:styleId="Header">
    <w:name w:val="header"/>
    <w:basedOn w:val="Normal"/>
    <w:link w:val="HeaderChar"/>
    <w:unhideWhenUsed/>
    <w:rsid w:val="002B0604"/>
    <w:pPr>
      <w:tabs>
        <w:tab w:val="center" w:pos="4680"/>
        <w:tab w:val="right" w:pos="9360"/>
      </w:tabs>
      <w:spacing w:after="0" w:line="240" w:lineRule="auto"/>
    </w:pPr>
  </w:style>
  <w:style w:type="character" w:customStyle="1" w:styleId="HeaderChar">
    <w:name w:val="Header Char"/>
    <w:basedOn w:val="DefaultParagraphFont"/>
    <w:link w:val="Header"/>
    <w:rsid w:val="002B0604"/>
    <w:rPr>
      <w:rFonts w:ascii="Calibri" w:eastAsia="Calibri" w:hAnsi="Calibri" w:cs="Times New Roman"/>
    </w:rPr>
  </w:style>
  <w:style w:type="paragraph" w:styleId="ListParagraph">
    <w:name w:val="List Paragraph"/>
    <w:basedOn w:val="Normal"/>
    <w:uiPriority w:val="34"/>
    <w:qFormat/>
    <w:rsid w:val="002B06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 Ellen D. Bayta</dc:creator>
  <cp:lastModifiedBy>Leona Ellen D. Bayta</cp:lastModifiedBy>
  <cp:revision>1</cp:revision>
  <dcterms:created xsi:type="dcterms:W3CDTF">2014-04-22T08:11:00Z</dcterms:created>
  <dcterms:modified xsi:type="dcterms:W3CDTF">2014-04-22T08:12:00Z</dcterms:modified>
</cp:coreProperties>
</file>